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56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сдачи в аренду недвижимого имущества ФГУП «ЦНИИчермет им, И.П.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Бардина» с целью противодействия коррупции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after="0" w:line="34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Сдача в аренду недвижимого имущества производится в соответствии с нормами Гражданского кодекса Российской Федерации, требованиями Территориального управления Федерального агентства по управлению государственным имуществом в городе Москве, Федерального закона от 26 июля 2006 г. № 135-ФЗ «О защите конкуренции», приказа Федеральной антимонопольной службы от 10 февраля 2010 г. № 67 «О порядке проведения конкурсов или аукционов на право заключения договоров аренды».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after="0" w:line="34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Сдача в аренду недвижимого' имущества производится с согласия Территориального управления с обязательным проведением торгов (в случае требований действующего законодательства) и размещением информации о торгах на официальном сайте Российской Федерации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(\у\у\у.1огщ.цоу.ги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Получение согласия Территориального управления производится при представлении следующих документов: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69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</w:t>
        <w:tab/>
        <w:t>Название документа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256" w:val="left"/>
          <w:tab w:leader="underscore" w:pos="5490" w:val="left"/>
          <w:tab w:leader="underscore" w:pos="5980" w:val="left"/>
        </w:tabs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п/п |</w:t>
        <w:tab/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Обращение предприятия о даче согласия на сделку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Устав или Положение с изменениями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 с решением о назначении на должность руководителя (в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70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соответствии с Уставом или Положением), а также трудовой договор с руководителем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Свидетельство о внесении записи в Единый государственный реестр {юридических лиц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Свидетельство о постановке на учет юридического лица в налоговом органе по месту нахождения на территории Российской Федерации Свидетельство о государственной регистрации права хозяйственного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70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ведения или оперативного управления на объект недвижимости, являющийся предметом сделки.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Согласие Минпромторга РФ на совершение сделки, содержащее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700" w:right="0" w:hanging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передаваемых в аренду помещениях (адрес объекта, площадь, срок аренды).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Выписка из технического паспорта на здание (строение), по форме, утвержденной ФЗ от 24 июля 2007 г. № 221-ФЗ «О государственном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■кадастре недвижимости»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 Справка БТИ о состоянии здания, по форме, утвержденной ФЗ от 24 [и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юл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 2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007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г. № 221-ФЗ «О государственном кадастре недвижимости» Экспликация на объект недвижимости по форме, утвержденной ФЗ от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68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 июля 2007 г. № 221-ФЗ «О государственном кадастре недвижимости»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[Поэтажный план объекта недвижимости по формам, утвержденным ФЗ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24 июля 2007 г. № 221 -ФЗ «О государственном кадастре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[недвижимости»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Кадастровый паспорт на объект недвижимости по формам,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3" w:val="left"/>
        </w:tabs>
        <w:bidi w:val="0"/>
        <w:spacing w:before="0" w:after="160" w:line="226" w:lineRule="auto"/>
        <w:ind w:left="680" w:right="0" w:hanging="54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393700</wp:posOffset>
                </wp:positionV>
                <wp:extent cx="5891530" cy="211518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91530" cy="2115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58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■Отчёт об оценке рыночной стоимости платы за право аренды объекта (недвижимости, являющегося предметом сделки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6" w:lineRule="auto"/>
                              <w:ind w:left="580" w:right="0" w:hanging="5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14 (Охранное обязательство (если предметом сделки является объект (культурного наследия)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{.Предложение по включению в состав комиссии Территориального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580" w:right="0" w:hanging="5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15. управления по торгам представителей (до 2-х человек) предприятия с указанием паспортных данных и приказов о назначении на должность.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80" w:right="0" w:hanging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. &amp; Справка с указанием адреса постоянно действующего исполнительного ' (органа и банковских реквизитов (расчетный счет, банк и его БИК)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17. Информационное письмо об учете в Статрегистре Росстата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1.25pt;margin-top:31.pt;width:463.89999999999998pt;height:166.55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5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■Отчёт об оценке рыночной стоимости платы за право аренды объекта (недвижимости, являющегося предметом сделки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580" w:right="0" w:hanging="5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14 (Охранное обязательство (если предметом сделки является объект (культурного наследия)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{.Предложение по включению в состав комиссии Территориального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580" w:right="0" w:hanging="5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15. управления по торгам представителей (до 2-х человек) предприятия с указанием паспортных данных и приказов о назначении на должность.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80" w:right="0" w:hanging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 &amp; Справка с указанием адреса постоянно действующего исполнительного ' (органа и банковских реквизитов (расчетный счет, банк и его БИК)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17. Информационное письмо об учете в Статрегистре Росстата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утвержденным Приказом Министерства юстиции Российской Федерации от18 февраля 2008 г. № 32.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01600" distR="101600" simplePos="0" relativeHeight="125829380" behindDoc="0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1981200</wp:posOffset>
                </wp:positionV>
                <wp:extent cx="5386070" cy="108521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86070" cy="1085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Заключение МЧС, подтверждающий соответствие помещений обязательным требованиям пожарной безопасности (гарантийное письмо предприятия или учреждения о представлении указанных документов в месячный срок с момента проведения соответствующей проверки помещений, планируемых к передаче в аренду)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0.05pt;margin-top:156.pt;width:424.10000000000002pt;height:85.450000000000003pt;z-index:-125829373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Заключение МЧС, подтверждающий соответствие помещений обязательным требованиям пожарной безопасности (гарантийное письмо предприятия или учреждения о представлении указанных документов в месячный срок с момента проведения соответствующей проверки помещений, планируемых к передаче в аренду)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2387600</wp:posOffset>
                </wp:positionV>
                <wp:extent cx="234950" cy="22860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18.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2.450000000000003pt;margin-top:188.pt;width:18.5pt;height:18.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18.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Гарантийное письмо, отвечающее требованиям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ст. 613 ГК РФ и подтверждающее, что объект аренды свободен от прав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68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19. третьих лиц, либо будет свободен на дату проведения торгов, содержащее сведения об объекте аренды (этаж, номера помещений и комнат, их площадь и т. д.)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3" w:val="left"/>
        </w:tabs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Получение согласия Минпромторга РФ на совершение сделки производится при представлении технико-экономического обоснования целесообразности сдачи в аренду, предложений об использовании дополнительных денежных средств.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3" w:val="left"/>
        </w:tabs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Оценка рыночной стоимости платы за право аренды объекта недвижимости, являющегося предметом сделки, должна проводиться организацией, входящей в саморегулируемую организацию оценщиков 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руководствоваться Федеральным законом №135-Ф3 от 29.07.1998 г. «Об оценочной деятельности в РФ» в действующей редакции». Оценщики должны быть включены в реестр членов саморегулируемой организации оценщиков. Результаты оценки анализируются и в случае согласия подтверждаются Территориальным управлением.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3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Стоимость коммунальных и других услуг оформляется отдельными договорами и не входят в стоимость арендной ставки при заключении договора аренды.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3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Финансовый контроль за исполнением заключённых договоров осуществляет Финансово-экономическое управление.</w:t>
      </w:r>
    </w:p>
    <w:sectPr>
      <w:footnotePr>
        <w:pos w:val="pageBottom"/>
        <w:numFmt w:val="decimal"/>
        <w:numRestart w:val="continuous"/>
      </w:footnotePr>
      <w:pgSz w:w="11900" w:h="16840"/>
      <w:pgMar w:top="1201" w:left="1538" w:right="929" w:bottom="1106" w:header="773" w:footer="67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