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Предварительный список </w:t>
      </w:r>
      <w:r>
        <w:rPr>
          <w:rFonts w:ascii="Times New Roman" w:hAnsi="Times New Roman" w:cs="Times New Roman"/>
          <w:b/>
          <w:sz w:val="28"/>
          <w:szCs w:val="28"/>
        </w:rPr>
        <w:t xml:space="preserve">вопросов для рассмотрения на отраслевых экспертных подгруппах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Рабочей групп</w:t>
      </w:r>
      <w:r>
        <w:rPr>
          <w:rFonts w:ascii="Times New Roman" w:hAnsi="Times New Roman" w:cs="Times New Roman"/>
          <w:b/>
          <w:sz w:val="28"/>
          <w:szCs w:val="28"/>
        </w:rPr>
        <w:t xml:space="preserve">ы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горнорудной промышленности и металлургии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ПартНИР БРИКС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ind w:left="0" w:firstLine="709"/>
        <w:spacing w:before="0" w:beforeAutospacing="0" w:after="0" w:afterAutospacing="0" w:line="240" w:lineRule="auto"/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0"/>
          <w:numId w:val="16"/>
        </w:numPr>
        <w:ind w:left="0" w:right="0" w:firstLine="709"/>
        <w:jc w:val="center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 Общие вопросы, касающиеся металлургии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и сырьевого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05"/>
        <w:ind w:left="0" w:right="0" w:firstLine="709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0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Обзоры общеэкономической ситуации в мире, мирового и региональных рынков металлов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Создание механизма обсуждения текущих проблем мировой экономики, их влияние на отрасли черной металлургии и цветной металлургии стран-членов БРИКС и выработки совместных решений для минимизации рисков;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Обмен информацией о состоянии экономического развития стран-членов БРИКС;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Формирование прогнозов и аналитических материалов по экономическому развитию в странах - участницах;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Обсуждение общих проблем металлургической промышленности и горнорудного комплекса и выработка совместных решений для их преодоления;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Обеспечение бесперебойного банковского и страхового обслуживания торговых операций и инвестиционной деятельности в сфере металлургической промышленности, в том числе в свете санкционного давления со стороны третьих стран.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Возможности перехода в расчетах на национальные валюты в торговле металлами и сырьевыми материалами в контексте минимизации рисков от протекционистской политики и введения санкций со стороны стран, не входящих в БРИКС;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7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Усиление присутствия металлургических компаний на международных рынках заимствований, рассмотрение возможности выпуска облигаций в валютах дружественных стран, возможности проведения листинга на биржах стран-участниц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0" w:right="0" w:firstLine="709"/>
        <w:jc w:val="both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. Экспертная подгруппа по черной металлургии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ind w:left="0" w:right="0" w:firstLine="709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Обзоры общеэкономической ситуация в мире, мирового и региональных рынков стали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1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механизма обсуждения текущих проблем отрасли черной металлургии и выработки совместных решений для их преодоления.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1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Обмен </w:t>
      </w:r>
      <w:r>
        <w:rPr>
          <w:rFonts w:ascii="Times New Roman" w:hAnsi="Times New Roman" w:cs="Times New Roman"/>
          <w:sz w:val="28"/>
          <w:szCs w:val="28"/>
        </w:rPr>
        <w:t xml:space="preserve">данными о текущей ситуации в горнодобывающей промышленности и черной металлургии, на рынках стали;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1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Обмен </w:t>
      </w:r>
      <w:r>
        <w:rPr>
          <w:rFonts w:ascii="Times New Roman" w:hAnsi="Times New Roman" w:cs="Times New Roman"/>
          <w:sz w:val="28"/>
          <w:szCs w:val="28"/>
        </w:rPr>
        <w:t xml:space="preserve">прогноз</w:t>
      </w:r>
      <w:r>
        <w:rPr>
          <w:rFonts w:ascii="Times New Roman" w:hAnsi="Times New Roman" w:cs="Times New Roman"/>
          <w:sz w:val="28"/>
          <w:szCs w:val="28"/>
        </w:rPr>
        <w:t xml:space="preserve">ами</w:t>
      </w:r>
      <w:r>
        <w:rPr>
          <w:rFonts w:ascii="Times New Roman" w:hAnsi="Times New Roman" w:cs="Times New Roman"/>
          <w:sz w:val="28"/>
          <w:szCs w:val="28"/>
        </w:rPr>
        <w:t xml:space="preserve"> и аналитически</w:t>
      </w:r>
      <w:r>
        <w:rPr>
          <w:rFonts w:ascii="Times New Roman" w:hAnsi="Times New Roman" w:cs="Times New Roman"/>
          <w:sz w:val="28"/>
          <w:szCs w:val="28"/>
        </w:rPr>
        <w:t xml:space="preserve">ми</w:t>
      </w:r>
      <w:r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 xml:space="preserve">ами</w:t>
      </w:r>
      <w:r>
        <w:rPr>
          <w:rFonts w:ascii="Times New Roman" w:hAnsi="Times New Roman" w:cs="Times New Roman"/>
          <w:sz w:val="28"/>
          <w:szCs w:val="28"/>
        </w:rPr>
        <w:t xml:space="preserve"> по развитию рынка стали в странах участницах;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1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Изучение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расширения</w:t>
      </w:r>
      <w:r>
        <w:rPr>
          <w:rFonts w:ascii="Times New Roman" w:hAnsi="Times New Roman" w:cs="Times New Roman"/>
          <w:sz w:val="28"/>
          <w:szCs w:val="28"/>
        </w:rPr>
        <w:t xml:space="preserve"> областей применения стали;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1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механизма аккумулирования данных по производству и потреблению в странах-участницах на примере формата World Steel до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г., предусматривающего продуктовую детализацию, но не сегментацию по потребляющим секторам, необходимую для понимания странам</w:t>
      </w:r>
      <w:r>
        <w:rPr>
          <w:rFonts w:ascii="Times New Roman" w:hAnsi="Times New Roman" w:cs="Times New Roman"/>
          <w:sz w:val="28"/>
          <w:szCs w:val="28"/>
        </w:rPr>
        <w:t xml:space="preserve">и-участницами дефицитных рынков.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Содействие инвестициям в металлургическую промышленность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Проведение совместных конференций, развитие сотрудничества между компаниями для подготовки проектов, финансируемых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инструментов Нового банка развития </w:t>
      </w:r>
      <w:r>
        <w:rPr>
          <w:rFonts w:ascii="Times New Roman" w:hAnsi="Times New Roman" w:cs="Times New Roman"/>
          <w:sz w:val="28"/>
          <w:szCs w:val="28"/>
        </w:rPr>
        <w:t xml:space="preserve">БРИКС и </w:t>
      </w:r>
      <w:r>
        <w:rPr>
          <w:rFonts w:ascii="Times New Roman" w:hAnsi="Times New Roman" w:cs="Times New Roman"/>
          <w:sz w:val="28"/>
          <w:szCs w:val="28"/>
        </w:rPr>
        <w:t xml:space="preserve">Центра промышленных компетенций БРИКС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Создания совместных кредитных и ESG рейтингов.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Сырьевое обеспечение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Обзоры мирового и региональных рынков </w:t>
      </w:r>
      <w:r>
        <w:rPr>
          <w:rFonts w:ascii="Times New Roman" w:hAnsi="Times New Roman" w:cs="Times New Roman"/>
          <w:sz w:val="28"/>
          <w:szCs w:val="28"/>
        </w:rPr>
        <w:t xml:space="preserve">железорудного </w:t>
      </w:r>
      <w:r>
        <w:rPr>
          <w:rFonts w:ascii="Times New Roman" w:hAnsi="Times New Roman" w:cs="Times New Roman"/>
          <w:sz w:val="28"/>
          <w:szCs w:val="28"/>
        </w:rPr>
        <w:t xml:space="preserve">сырья и </w:t>
      </w:r>
      <w:r>
        <w:rPr>
          <w:rFonts w:ascii="Times New Roman" w:hAnsi="Times New Roman" w:cs="Times New Roman"/>
          <w:sz w:val="28"/>
          <w:szCs w:val="28"/>
        </w:rPr>
        <w:t xml:space="preserve">лома и </w:t>
      </w:r>
      <w:r>
        <w:rPr>
          <w:rFonts w:ascii="Times New Roman" w:hAnsi="Times New Roman" w:cs="Times New Roman"/>
          <w:sz w:val="28"/>
          <w:szCs w:val="28"/>
        </w:rPr>
        <w:t xml:space="preserve">энергоносителей (</w:t>
      </w:r>
      <w:r>
        <w:rPr>
          <w:rFonts w:ascii="Times New Roman" w:hAnsi="Times New Roman" w:cs="Times New Roman"/>
          <w:sz w:val="28"/>
          <w:szCs w:val="28"/>
        </w:rPr>
        <w:t xml:space="preserve">уголь, газ, электроэнергия);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Текущая динамика спроса и</w:t>
      </w:r>
      <w:r>
        <w:rPr>
          <w:rFonts w:ascii="Times New Roman" w:hAnsi="Times New Roman" w:cs="Times New Roman"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сырьевых </w:t>
      </w:r>
      <w:r>
        <w:rPr>
          <w:rFonts w:ascii="Times New Roman" w:hAnsi="Times New Roman" w:cs="Times New Roman"/>
          <w:sz w:val="28"/>
          <w:szCs w:val="28"/>
        </w:rPr>
        <w:t xml:space="preserve">ресурсов</w:t>
      </w:r>
      <w:r>
        <w:rPr>
          <w:rFonts w:ascii="Times New Roman" w:hAnsi="Times New Roman" w:cs="Times New Roman"/>
          <w:sz w:val="28"/>
          <w:szCs w:val="28"/>
        </w:rPr>
        <w:t xml:space="preserve"> черной металлургии </w:t>
      </w:r>
      <w:r>
        <w:rPr>
          <w:rFonts w:ascii="Times New Roman" w:hAnsi="Times New Roman" w:cs="Times New Roman"/>
          <w:sz w:val="28"/>
          <w:szCs w:val="28"/>
        </w:rPr>
        <w:t xml:space="preserve">между странами –</w:t>
      </w:r>
      <w:r>
        <w:rPr>
          <w:rFonts w:ascii="Times New Roman" w:hAnsi="Times New Roman" w:cs="Times New Roman"/>
          <w:sz w:val="28"/>
          <w:szCs w:val="28"/>
        </w:rPr>
        <w:t xml:space="preserve"> участницами и в целом по миру;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текущих проблем сырьевого обеспечения черной металлургии и выработка совместных решений для их преодоления;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Перспективы динамики спроса на основные сырьевые материалы (лом, железорудное сырье - руда, горячебрикетированное железо - ГБЖ), энергоносители - уголь, газ, электроэнергия, и в перспективе – водород) и т.д.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вопросов устойчивого р</w:t>
      </w:r>
      <w:r>
        <w:rPr>
          <w:rFonts w:ascii="Times New Roman" w:hAnsi="Times New Roman" w:cs="Times New Roman"/>
          <w:sz w:val="28"/>
          <w:szCs w:val="28"/>
        </w:rPr>
        <w:t xml:space="preserve">азвити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отрасли вторичной переработки лома черных металлов.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Экологическая проблематика: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национальных целей и задач, программ, этапов перехода на низкоуглеродные и безуглеродные технологии, успехи и достижения, риски и возможности для стран - участниц, и т.д.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технологических проблем перехода на низкоуглеродные технологии в черной металлургии, перспектив совершенствования существующих и разработки новых прорывных технологий выплавки стали, улавливания, использования и захоронения 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Пути минимизации рисков для национальных отраслей от перехода на безуглеродные технологии (с оклонулевыми выбросами 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путей повышения энергоэффективности отрасли в контексте мирового тренда</w:t>
      </w:r>
      <w:r>
        <w:rPr>
          <w:rFonts w:ascii="Times New Roman" w:hAnsi="Times New Roman" w:cs="Times New Roman"/>
          <w:sz w:val="28"/>
          <w:szCs w:val="28"/>
        </w:rPr>
        <w:t xml:space="preserve"> и мероприятий стран – участниц;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общей системы бенчмарков по эмиссии парниковых газов и экологических пок</w:t>
      </w:r>
      <w:r>
        <w:rPr>
          <w:rFonts w:ascii="Times New Roman" w:hAnsi="Times New Roman" w:cs="Times New Roman"/>
          <w:sz w:val="28"/>
          <w:szCs w:val="28"/>
        </w:rPr>
        <w:t xml:space="preserve">азателей;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Обмен лучшими практиками и технологиями по очистке газов, воды</w:t>
      </w:r>
      <w:r>
        <w:rPr>
          <w:rFonts w:ascii="Times New Roman" w:hAnsi="Times New Roman" w:cs="Times New Roman"/>
          <w:sz w:val="28"/>
          <w:szCs w:val="28"/>
        </w:rPr>
        <w:t xml:space="preserve"> и переработке вторичного сырья;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Выработка совместных стандартов оценки и мониторинга углеродного сле</w:t>
      </w:r>
      <w:r>
        <w:rPr>
          <w:rFonts w:ascii="Times New Roman" w:hAnsi="Times New Roman" w:cs="Times New Roman"/>
          <w:sz w:val="28"/>
          <w:szCs w:val="28"/>
        </w:rPr>
        <w:t xml:space="preserve">да (таксономия на уровне БРИКС);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механизма признания экологичности стальной продукции («зеленая сталь»), формирование требований потребля</w:t>
      </w:r>
      <w:r>
        <w:rPr>
          <w:rFonts w:ascii="Times New Roman" w:hAnsi="Times New Roman" w:cs="Times New Roman"/>
          <w:sz w:val="28"/>
          <w:szCs w:val="28"/>
        </w:rPr>
        <w:t xml:space="preserve">ющих секторов к «зеленой стали»;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Взаимная интеграция текущих систем торговли углеродными единицами, созда</w:t>
      </w:r>
      <w:r>
        <w:rPr>
          <w:rFonts w:ascii="Times New Roman" w:hAnsi="Times New Roman" w:cs="Times New Roman"/>
          <w:sz w:val="28"/>
          <w:szCs w:val="28"/>
        </w:rPr>
        <w:t xml:space="preserve">ние единого добровольного рынка;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Формирование общих современных подходов для подготовки к</w:t>
      </w:r>
      <w:r>
        <w:rPr>
          <w:rFonts w:ascii="Times New Roman" w:hAnsi="Times New Roman" w:cs="Times New Roman"/>
          <w:sz w:val="28"/>
          <w:szCs w:val="28"/>
        </w:rPr>
        <w:t xml:space="preserve">адров в природоохранной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Обмен практиками цифровых решений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защиты окружающей среды;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----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Обсуждение торговых барьеров и проблем доступа на рынки, выработка совместных действий по противодействию нечестным методам введения мер торговой защиты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Подготовка обзоров введения мер торговой защиты и протекционистских мер со стороны основных мировых импортеров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Обсуждение рисков введения торговых барьеров под предлогом перехода отрасли на </w:t>
      </w:r>
      <w:r>
        <w:rPr>
          <w:rFonts w:ascii="Times New Roman" w:hAnsi="Times New Roman" w:cs="Times New Roman"/>
          <w:sz w:val="28"/>
          <w:szCs w:val="28"/>
        </w:rPr>
        <w:t xml:space="preserve">безуглеродные технологии;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Выработка совместных действий по противодействию протекционизму и нечестным методам введения мер торговой защиты</w:t>
      </w:r>
      <w:r>
        <w:rPr>
          <w:rFonts w:ascii="Times New Roman" w:hAnsi="Times New Roman" w:cs="Times New Roman"/>
          <w:sz w:val="28"/>
          <w:szCs w:val="28"/>
        </w:rPr>
        <w:t xml:space="preserve"> со стороны стран, не входящих в БРИКС </w:t>
      </w:r>
      <w:r>
        <w:rPr>
          <w:rFonts w:ascii="Times New Roman" w:hAnsi="Times New Roman" w:cs="Times New Roman"/>
          <w:sz w:val="28"/>
          <w:szCs w:val="28"/>
        </w:rPr>
        <w:t xml:space="preserve">(например, совместное инициирование споров в ВТО, взаимодействие в ходе антидемпинговых и компенсационных расследованиях с целью координации совместных действий и минимизации расходов компаний и т.д.)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перехода в расчетах на национальные валюты в торговле сталью и сырьевыми материалами в контексте минимизации рисков от протекционистской политики и введения санкций со стороны </w:t>
      </w:r>
      <w:r>
        <w:rPr>
          <w:rFonts w:ascii="Times New Roman" w:hAnsi="Times New Roman" w:cs="Times New Roman"/>
          <w:sz w:val="28"/>
          <w:szCs w:val="28"/>
        </w:rPr>
        <w:t xml:space="preserve">стран, не входящих в БРИКС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----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Охрана 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труда и промышленн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ая</w:t>
      </w:r>
      <w:r>
        <w:rPr>
          <w:rFonts w:ascii="Times New Roman" w:hAnsi="Times New Roman" w:cs="Times New Roman"/>
          <w:b/>
          <w:sz w:val="28"/>
          <w:szCs w:val="28"/>
        </w:rPr>
        <w:t xml:space="preserve"> безопасност</w:t>
      </w:r>
      <w:r>
        <w:rPr>
          <w:rFonts w:ascii="Times New Roman" w:hAnsi="Times New Roman" w:cs="Times New Roman"/>
          <w:b/>
          <w:sz w:val="28"/>
          <w:szCs w:val="28"/>
        </w:rPr>
        <w:t xml:space="preserve">ь</w:t>
      </w:r>
      <w:r>
        <w:rPr>
          <w:rFonts w:ascii="Times New Roman" w:hAnsi="Times New Roman" w:cs="Times New Roman"/>
          <w:b/>
          <w:sz w:val="28"/>
          <w:szCs w:val="28"/>
        </w:rPr>
        <w:t xml:space="preserve"> (ОТиПБ)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Обмен информацией об ОТиПБ по странам-участницам;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 и публикация агрегированных данных и отчетно</w:t>
      </w:r>
      <w:r>
        <w:rPr>
          <w:rFonts w:ascii="Times New Roman" w:hAnsi="Times New Roman" w:cs="Times New Roman"/>
          <w:sz w:val="28"/>
          <w:szCs w:val="28"/>
        </w:rPr>
        <w:t xml:space="preserve">сти ОТиПБ по странам-участницам;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Создание аналитических материалов в части ОТиПБ;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принятие общих показателей травматичности металлургичес</w:t>
      </w:r>
      <w:r>
        <w:rPr>
          <w:rFonts w:ascii="Times New Roman" w:hAnsi="Times New Roman" w:cs="Times New Roman"/>
          <w:sz w:val="28"/>
          <w:szCs w:val="28"/>
        </w:rPr>
        <w:t xml:space="preserve">кого производства;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механизма разрешения операционных вопросов, 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многосторонних и </w:t>
      </w:r>
      <w:r>
        <w:rPr>
          <w:rFonts w:ascii="Times New Roman" w:hAnsi="Times New Roman" w:cs="Times New Roman"/>
          <w:sz w:val="28"/>
          <w:szCs w:val="28"/>
        </w:rPr>
        <w:t xml:space="preserve">двусторонних контактов с представителями компаний 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органов стран-участниц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программы </w:t>
      </w:r>
      <w:r>
        <w:rPr>
          <w:rFonts w:ascii="Times New Roman" w:hAnsi="Times New Roman" w:cs="Times New Roman"/>
          <w:sz w:val="28"/>
          <w:szCs w:val="28"/>
        </w:rPr>
        <w:t xml:space="preserve">обмена опытом и </w:t>
      </w:r>
      <w:r>
        <w:rPr>
          <w:rFonts w:ascii="Times New Roman" w:hAnsi="Times New Roman" w:cs="Times New Roman"/>
          <w:sz w:val="28"/>
          <w:szCs w:val="28"/>
        </w:rPr>
        <w:t xml:space="preserve">совместных обучений для повышения квалификации работников сталелитейной промышленности.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наилучших доступных технологий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перечня наилучших доступных технологий, в перспективе – рассмотрение возможности принятия общих стандартов.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площадки по аккумулированию вопросов</w:t>
      </w:r>
      <w:r>
        <w:rPr>
          <w:rFonts w:ascii="Times New Roman" w:hAnsi="Times New Roman" w:cs="Times New Roman"/>
          <w:sz w:val="28"/>
          <w:szCs w:val="28"/>
        </w:rPr>
        <w:t xml:space="preserve">, связанных с исследованиями и разработками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R&amp;D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в частности вопросов северного строительства, скорости возведения объектов, облегчения конструкций и др.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0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Тематические обзоры </w:t>
      </w:r>
      <w:r>
        <w:rPr>
          <w:rFonts w:ascii="Times New Roman" w:hAnsi="Times New Roman" w:cs="Times New Roman"/>
          <w:sz w:val="28"/>
          <w:szCs w:val="28"/>
        </w:rPr>
        <w:t xml:space="preserve">(в соответствии с текущими интересами стран – участниц)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0" w:right="0" w:firstLine="709"/>
        <w:jc w:val="both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. Экспертная подгруппа по цветной металлургии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ind w:left="0" w:right="0" w:firstLine="709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0"/>
          <w:numId w:val="18"/>
        </w:numPr>
        <w:ind w:left="0" w:right="0" w:firstLine="709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Обмен данными о текущей ситуации </w:t>
      </w:r>
      <w:r>
        <w:rPr>
          <w:rFonts w:ascii="Times New Roman" w:hAnsi="Times New Roman" w:cs="Times New Roman"/>
          <w:sz w:val="28"/>
          <w:szCs w:val="28"/>
        </w:rPr>
        <w:t xml:space="preserve">на рынках цветных металлов,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цветной металлургии и горнодобывающей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в части обеспечения сырья для цветной металлургии.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8"/>
        </w:numPr>
        <w:ind w:left="0" w:right="0" w:firstLine="709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Целевая группа (Task Force) по алюминиевой промышленности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Расширение торговли алюминием с низким углеродным следом, согласование подходов к расчету углеродного следа и критериев отнесения алюминия к низкоуглеродному.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i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Обеспечение бесперебойного банковского и страхового обслуживания торговых операций и инвестиционной деятельности в сфере алюминиевой промышленности, в том числе в свете санкционного давления со стороны третьих стран.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устойчивых трансграничных цепочек поставок, обеспечение предприятий алюминиевой промышленности сырьем.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Развитие отрасли вторичной переработки алюминия.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Сближение национальных стандартов и признание систем подтверждения соответствия на алюминиевую продукцию.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Изучение и расширение областей применения алюминия, обмен опытом и информацией 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прогнозов и аналитических материалов по развитию рынка алюминия в странах участницах;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1"/>
          <w:numId w:val="18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---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0" w:right="0" w:firstLine="709"/>
        <w:jc w:val="both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I</w:t>
      </w:r>
      <w:r>
        <w:rPr>
          <w:rFonts w:ascii="Times New Roman" w:hAnsi="Times New Roman" w:cs="Times New Roman"/>
          <w:b/>
          <w:sz w:val="28"/>
          <w:szCs w:val="28"/>
        </w:rPr>
        <w:t xml:space="preserve">V. </w:t>
      </w:r>
      <w:r>
        <w:rPr>
          <w:rFonts w:ascii="Times New Roman" w:hAnsi="Times New Roman" w:cs="Times New Roman"/>
          <w:b/>
          <w:sz w:val="28"/>
          <w:szCs w:val="28"/>
        </w:rPr>
        <w:t xml:space="preserve">Экспертная подгруппа по сырьевому 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ind w:left="0" w:right="0" w:firstLine="709"/>
        <w:spacing w:before="0" w:beforeAutospacing="0"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Обмен данными о текущей ситуации в горнодобывающей промышленности, планах развития ресурсной базы черной и цветной металлургии, потребностях в геологоразведочных работах</w:t>
      </w:r>
      <w:r>
        <w:rPr>
          <w:rFonts w:ascii="Times New Roman" w:hAnsi="Times New Roman" w:cs="Times New Roman"/>
          <w:sz w:val="28"/>
          <w:szCs w:val="28"/>
        </w:rPr>
        <w:t xml:space="preserve">, обновлении основных фондов и инвестициях в добычу полезных ископаемых;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Участие в деятельности экспертных подгрупп по черной и цветной металлургии по вопросам сырьевого обеспечения;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Обсуждение возможности </w:t>
      </w:r>
      <w:r>
        <w:rPr>
          <w:rFonts w:ascii="Times New Roman" w:hAnsi="Times New Roman" w:cs="Times New Roman"/>
          <w:sz w:val="28"/>
          <w:szCs w:val="28"/>
        </w:rPr>
        <w:t xml:space="preserve">развития кадрового потенциала стран – членов БРИКС </w:t>
      </w:r>
      <w:r>
        <w:rPr>
          <w:rFonts w:ascii="Times New Roman" w:hAnsi="Times New Roman" w:cs="Times New Roman"/>
          <w:sz w:val="28"/>
          <w:szCs w:val="28"/>
        </w:rPr>
        <w:t xml:space="preserve">в геологоразведке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горнорудной промышленности </w:t>
      </w:r>
      <w:r>
        <w:rPr>
          <w:rFonts w:ascii="Times New Roman" w:hAnsi="Times New Roman" w:cs="Times New Roman"/>
          <w:sz w:val="28"/>
          <w:szCs w:val="28"/>
        </w:rPr>
        <w:t xml:space="preserve">и углубление сотрудничества в области </w:t>
      </w:r>
      <w:r>
        <w:rPr>
          <w:rFonts w:ascii="Times New Roman" w:hAnsi="Times New Roman" w:cs="Times New Roman"/>
          <w:sz w:val="28"/>
          <w:szCs w:val="28"/>
        </w:rPr>
        <w:t xml:space="preserve">подготовки кадров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Развитие отрасли вторичной переработки черных и цветных металлов.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Перспективы перехода металлургической промышленности на возобновляемые источники энергии, в том числе водород.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9"/>
        </w:numPr>
        <w:ind w:left="0" w:right="0" w:firstLine="709"/>
        <w:jc w:val="both"/>
        <w:spacing w:before="0" w:beforeAutospacing="0" w:after="0" w:afterAutospacing="0" w:line="36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---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eastAsia="Times New Roman" w:cs="Times New Roman"/>
        <w:sz w:val="24"/>
        <w:szCs w:val="24"/>
      </w:rPr>
    </w:r>
  </w:p>
  <w:p>
    <w:pPr>
      <w:pStyle w:val="706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36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36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04" w:hanging="42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360" w:hanging="360"/>
      </w:pPr>
      <w:rPr>
        <w:rFonts w:hint="default" w:ascii="Courier New" w:hAnsi="Courier New"/>
        <w:b/>
      </w:rPr>
    </w:lvl>
    <w:lvl w:ilvl="1">
      <w:start w:val="1"/>
      <w:numFmt w:val="bullet"/>
      <w:isLgl w:val="false"/>
      <w:suff w:val="tab"/>
      <w:lvlText w:val="­"/>
      <w:lvlJc w:val="left"/>
      <w:pPr>
        <w:ind w:left="360" w:hanging="360"/>
      </w:pPr>
      <w:rPr>
        <w:rFonts w:hint="default" w:ascii="Courier New" w:hAnsi="Courier New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04" w:hanging="42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12"/>
  </w:num>
  <w:num w:numId="9">
    <w:abstractNumId w:val="0"/>
  </w:num>
  <w:num w:numId="10">
    <w:abstractNumId w:val="2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01"/>
    <w:next w:val="7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0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1"/>
    <w:next w:val="7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1"/>
    <w:next w:val="7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1"/>
    <w:next w:val="7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1"/>
    <w:next w:val="7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1"/>
    <w:next w:val="7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1"/>
    <w:next w:val="7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1"/>
    <w:next w:val="7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1"/>
    <w:next w:val="7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1"/>
    <w:next w:val="7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2"/>
    <w:link w:val="34"/>
    <w:uiPriority w:val="10"/>
    <w:rPr>
      <w:sz w:val="48"/>
      <w:szCs w:val="48"/>
    </w:rPr>
  </w:style>
  <w:style w:type="paragraph" w:styleId="36">
    <w:name w:val="Subtitle"/>
    <w:basedOn w:val="701"/>
    <w:next w:val="7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2"/>
    <w:link w:val="36"/>
    <w:uiPriority w:val="11"/>
    <w:rPr>
      <w:sz w:val="24"/>
      <w:szCs w:val="24"/>
    </w:rPr>
  </w:style>
  <w:style w:type="paragraph" w:styleId="38">
    <w:name w:val="Quote"/>
    <w:basedOn w:val="701"/>
    <w:next w:val="7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1"/>
    <w:next w:val="7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2"/>
    <w:link w:val="706"/>
    <w:uiPriority w:val="99"/>
  </w:style>
  <w:style w:type="character" w:styleId="45">
    <w:name w:val="Footer Char"/>
    <w:basedOn w:val="702"/>
    <w:link w:val="708"/>
    <w:uiPriority w:val="99"/>
  </w:style>
  <w:style w:type="paragraph" w:styleId="46">
    <w:name w:val="Caption"/>
    <w:basedOn w:val="701"/>
    <w:next w:val="7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08"/>
    <w:uiPriority w:val="99"/>
  </w:style>
  <w:style w:type="table" w:styleId="48">
    <w:name w:val="Table Grid"/>
    <w:basedOn w:val="7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2"/>
    <w:uiPriority w:val="99"/>
    <w:unhideWhenUsed/>
    <w:rPr>
      <w:vertAlign w:val="superscript"/>
    </w:rPr>
  </w:style>
  <w:style w:type="paragraph" w:styleId="178">
    <w:name w:val="endnote text"/>
    <w:basedOn w:val="7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2"/>
    <w:uiPriority w:val="99"/>
    <w:semiHidden/>
    <w:unhideWhenUsed/>
    <w:rPr>
      <w:vertAlign w:val="superscript"/>
    </w:rPr>
  </w:style>
  <w:style w:type="paragraph" w:styleId="181">
    <w:name w:val="toc 1"/>
    <w:basedOn w:val="701"/>
    <w:next w:val="7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1"/>
    <w:next w:val="7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1"/>
    <w:next w:val="7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1"/>
    <w:next w:val="7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1"/>
    <w:next w:val="7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1"/>
    <w:next w:val="7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1"/>
    <w:next w:val="7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1"/>
    <w:next w:val="7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1"/>
    <w:next w:val="7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1"/>
    <w:next w:val="701"/>
    <w:uiPriority w:val="99"/>
    <w:unhideWhenUsed/>
    <w:pPr>
      <w:spacing w:after="0" w:afterAutospacing="0"/>
    </w:pPr>
  </w:style>
  <w:style w:type="paragraph" w:styleId="701" w:default="1">
    <w:name w:val="Normal"/>
    <w:qFormat/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paragraph" w:styleId="705">
    <w:name w:val="List Paragraph"/>
    <w:basedOn w:val="701"/>
    <w:uiPriority w:val="34"/>
    <w:qFormat/>
    <w:pPr>
      <w:contextualSpacing/>
      <w:ind w:left="720"/>
    </w:pPr>
  </w:style>
  <w:style w:type="paragraph" w:styleId="706">
    <w:name w:val="Header"/>
    <w:basedOn w:val="701"/>
    <w:link w:val="70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7" w:customStyle="1">
    <w:name w:val="Верхний колонтитул Знак"/>
    <w:basedOn w:val="702"/>
    <w:link w:val="706"/>
    <w:uiPriority w:val="99"/>
  </w:style>
  <w:style w:type="paragraph" w:styleId="708">
    <w:name w:val="Footer"/>
    <w:basedOn w:val="701"/>
    <w:link w:val="70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9" w:customStyle="1">
    <w:name w:val="Нижний колонтитул Знак"/>
    <w:basedOn w:val="702"/>
    <w:link w:val="70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B635A-CF44-4464-A01E-5B13B5F7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Шурупов Н.Е., Отдел развития трубной промышленности и металлоконструкций</cp:lastModifiedBy>
  <cp:revision>20</cp:revision>
  <dcterms:created xsi:type="dcterms:W3CDTF">2024-09-02T04:47:00Z</dcterms:created>
  <dcterms:modified xsi:type="dcterms:W3CDTF">2024-09-16T10:31:58Z</dcterms:modified>
</cp:coreProperties>
</file>